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84" w:rsidRDefault="00A54184" w:rsidP="00A54184">
      <w:pPr>
        <w:pStyle w:val="Default"/>
        <w:jc w:val="center"/>
        <w:rPr>
          <w:rFonts w:ascii="Bahnschrift" w:hAnsi="Bahnschrift" w:cs="Arial"/>
          <w:b/>
          <w:bCs/>
          <w:sz w:val="30"/>
          <w:szCs w:val="3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013505" wp14:editId="675BDF39">
            <wp:simplePos x="0" y="0"/>
            <wp:positionH relativeFrom="column">
              <wp:posOffset>-651510</wp:posOffset>
            </wp:positionH>
            <wp:positionV relativeFrom="paragraph">
              <wp:posOffset>-726440</wp:posOffset>
            </wp:positionV>
            <wp:extent cx="6976745" cy="106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2" t="17234" r="23253" b="72128"/>
                    <a:stretch/>
                  </pic:blipFill>
                  <pic:spPr bwMode="auto">
                    <a:xfrm>
                      <a:off x="0" y="0"/>
                      <a:ext cx="697674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184" w:rsidRDefault="00A54184" w:rsidP="00A54184">
      <w:pPr>
        <w:pStyle w:val="Default"/>
        <w:jc w:val="center"/>
        <w:rPr>
          <w:rFonts w:ascii="Bahnschrift" w:hAnsi="Bahnschrift" w:cs="Arial"/>
          <w:b/>
          <w:bCs/>
          <w:szCs w:val="30"/>
        </w:rPr>
      </w:pPr>
    </w:p>
    <w:p w:rsidR="00A54184" w:rsidRDefault="00A54184" w:rsidP="00A54184">
      <w:pPr>
        <w:pStyle w:val="Default"/>
        <w:ind w:left="7797" w:right="-428"/>
        <w:rPr>
          <w:rFonts w:ascii="Bahnschrift" w:hAnsi="Bahnschrift" w:cs="Arial"/>
          <w:bCs/>
          <w:sz w:val="18"/>
          <w:szCs w:val="30"/>
        </w:rPr>
      </w:pPr>
      <w:r w:rsidRPr="00A54184">
        <w:rPr>
          <w:rFonts w:ascii="Bahnschrift" w:hAnsi="Bahnschrift" w:cs="Arial"/>
          <w:bCs/>
          <w:sz w:val="18"/>
          <w:szCs w:val="30"/>
        </w:rPr>
        <w:t>Paris le 25 juillet 2018</w:t>
      </w:r>
    </w:p>
    <w:p w:rsidR="00A54184" w:rsidRDefault="00A54184" w:rsidP="00A54184">
      <w:pPr>
        <w:pStyle w:val="Default"/>
        <w:ind w:left="7797" w:right="-428"/>
        <w:rPr>
          <w:rFonts w:ascii="Bahnschrift" w:hAnsi="Bahnschrift" w:cs="Arial"/>
          <w:bCs/>
          <w:sz w:val="18"/>
          <w:szCs w:val="30"/>
        </w:rPr>
      </w:pPr>
    </w:p>
    <w:p w:rsidR="00A54184" w:rsidRPr="00A54184" w:rsidRDefault="00A54184" w:rsidP="00A54184">
      <w:pPr>
        <w:pStyle w:val="Default"/>
        <w:ind w:left="7797" w:right="-428"/>
        <w:rPr>
          <w:rFonts w:ascii="Bahnschrift" w:hAnsi="Bahnschrift" w:cs="Arial"/>
          <w:bCs/>
          <w:sz w:val="18"/>
          <w:szCs w:val="30"/>
        </w:rPr>
      </w:pPr>
    </w:p>
    <w:p w:rsidR="00A54184" w:rsidRPr="00C5475A" w:rsidRDefault="00A54184" w:rsidP="00A54184">
      <w:pPr>
        <w:pStyle w:val="Default"/>
        <w:jc w:val="center"/>
        <w:rPr>
          <w:rFonts w:ascii="Bahnschrift" w:hAnsi="Bahnschrift" w:cstheme="minorBidi"/>
          <w:b/>
          <w:color w:val="auto"/>
          <w:sz w:val="32"/>
          <w:szCs w:val="30"/>
        </w:rPr>
      </w:pPr>
      <w:r w:rsidRPr="00C5475A">
        <w:rPr>
          <w:rFonts w:ascii="Bahnschrift" w:hAnsi="Bahnschrift" w:cs="Arial"/>
          <w:b/>
          <w:bCs/>
          <w:sz w:val="32"/>
          <w:szCs w:val="30"/>
        </w:rPr>
        <w:t xml:space="preserve">Le Crédit Foncier de France </w:t>
      </w:r>
      <w:r w:rsidRPr="00C5475A">
        <w:rPr>
          <w:rFonts w:ascii="Bahnschrift" w:hAnsi="Bahnschrift" w:cstheme="minorBidi"/>
          <w:b/>
          <w:color w:val="auto"/>
          <w:sz w:val="32"/>
          <w:szCs w:val="30"/>
        </w:rPr>
        <w:t>ne fêtera pas son bi centenaire !</w:t>
      </w:r>
    </w:p>
    <w:p w:rsidR="00A54184" w:rsidRDefault="00A54184" w:rsidP="00A54184">
      <w:pPr>
        <w:pStyle w:val="Default"/>
        <w:jc w:val="center"/>
        <w:rPr>
          <w:rFonts w:ascii="Bahnschrift" w:hAnsi="Bahnschrift" w:cstheme="minorBidi"/>
          <w:b/>
          <w:color w:val="auto"/>
          <w:sz w:val="36"/>
        </w:rPr>
      </w:pPr>
    </w:p>
    <w:p w:rsidR="00A54184" w:rsidRPr="000D4020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</w:rPr>
      </w:pPr>
      <w:r w:rsidRPr="000D4020">
        <w:rPr>
          <w:rFonts w:ascii="Bahnschrift" w:hAnsi="Bahnschrift" w:cstheme="minorBidi"/>
          <w:b/>
          <w:color w:val="auto"/>
        </w:rPr>
        <w:t>La décision de liquider le Crédit Foncier  s</w:t>
      </w:r>
      <w:r w:rsidRPr="000D4020">
        <w:rPr>
          <w:rFonts w:ascii="Calibri" w:hAnsi="Calibri" w:cs="Calibri"/>
          <w:b/>
          <w:bCs/>
          <w:color w:val="auto"/>
        </w:rPr>
        <w:t>’organise depuis 2011 et à ce jour quelques 700 emplois ont</w:t>
      </w:r>
      <w:r w:rsidRPr="007A4796">
        <w:rPr>
          <w:rFonts w:ascii="Calibri" w:hAnsi="Calibri" w:cs="Calibri"/>
          <w:b/>
          <w:bCs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</w:rPr>
        <w:t>déjà</w:t>
      </w:r>
      <w:r w:rsidRPr="000D4020">
        <w:rPr>
          <w:rFonts w:ascii="Calibri" w:hAnsi="Calibri" w:cs="Calibri"/>
          <w:b/>
          <w:bCs/>
          <w:color w:val="auto"/>
        </w:rPr>
        <w:t xml:space="preserve"> été </w:t>
      </w:r>
      <w:r>
        <w:rPr>
          <w:rFonts w:ascii="Calibri" w:hAnsi="Calibri" w:cs="Calibri"/>
          <w:b/>
          <w:bCs/>
          <w:color w:val="auto"/>
        </w:rPr>
        <w:t xml:space="preserve">silencieusement </w:t>
      </w:r>
      <w:r w:rsidRPr="000D4020">
        <w:rPr>
          <w:rFonts w:ascii="Calibri" w:hAnsi="Calibri" w:cs="Calibri"/>
          <w:b/>
          <w:bCs/>
          <w:color w:val="auto"/>
        </w:rPr>
        <w:t xml:space="preserve">supprimés. </w:t>
      </w:r>
    </w:p>
    <w:p w:rsidR="00A54184" w:rsidRPr="00A12707" w:rsidRDefault="00A54184" w:rsidP="00A54184">
      <w:pPr>
        <w:pStyle w:val="Default"/>
        <w:ind w:left="-567" w:right="-426"/>
        <w:jc w:val="both"/>
        <w:rPr>
          <w:rFonts w:ascii="Calibri" w:hAnsi="Calibri" w:cs="Calibri"/>
          <w:bCs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En effet, le Crédit Foncier ne se relève pas des choix stratégiques catastrophiques des dirigeants de la filiale de BPCE. </w:t>
      </w:r>
      <w:r w:rsidR="00C5475A">
        <w:rPr>
          <w:rFonts w:ascii="Calibri" w:hAnsi="Calibri" w:cs="Calibri"/>
          <w:color w:val="auto"/>
          <w:sz w:val="23"/>
          <w:szCs w:val="23"/>
        </w:rPr>
        <w:t>I</w:t>
      </w:r>
      <w:r>
        <w:rPr>
          <w:rFonts w:ascii="Calibri" w:hAnsi="Calibri" w:cs="Calibri"/>
          <w:color w:val="auto"/>
          <w:sz w:val="23"/>
          <w:szCs w:val="23"/>
        </w:rPr>
        <w:t>nvesti massivement dans les emprunts grecs</w:t>
      </w:r>
      <w:r w:rsidR="00C5475A">
        <w:rPr>
          <w:rFonts w:ascii="Calibri" w:hAnsi="Calibri" w:cs="Calibri"/>
          <w:color w:val="auto"/>
          <w:sz w:val="23"/>
          <w:szCs w:val="23"/>
        </w:rPr>
        <w:t xml:space="preserve"> fût une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A12707">
        <w:rPr>
          <w:rFonts w:ascii="Calibri" w:hAnsi="Calibri" w:cs="Calibri"/>
          <w:bCs/>
          <w:color w:val="auto"/>
          <w:sz w:val="23"/>
          <w:szCs w:val="23"/>
        </w:rPr>
        <w:t>erreur de gestion entrainant une perte d’un bon milliard d’euros</w:t>
      </w:r>
      <w:r>
        <w:rPr>
          <w:rFonts w:ascii="Calibri" w:hAnsi="Calibri" w:cs="Calibri"/>
          <w:bCs/>
          <w:color w:val="auto"/>
          <w:sz w:val="23"/>
          <w:szCs w:val="23"/>
        </w:rPr>
        <w:t>.</w:t>
      </w:r>
      <w:r w:rsidRPr="00A12707">
        <w:rPr>
          <w:rFonts w:ascii="Calibri" w:hAnsi="Calibri" w:cs="Calibri"/>
          <w:bCs/>
          <w:color w:val="auto"/>
          <w:sz w:val="23"/>
          <w:szCs w:val="23"/>
        </w:rPr>
        <w:t xml:space="preserve"> L’ardoise, a nécessité une recapitalisation par BPCE à hauteur d’1,5 Md€. </w:t>
      </w:r>
    </w:p>
    <w:p w:rsid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S</w:t>
      </w:r>
      <w:r>
        <w:rPr>
          <w:rFonts w:ascii="Calibri" w:hAnsi="Calibri" w:cs="Calibri"/>
          <w:color w:val="auto"/>
          <w:sz w:val="23"/>
          <w:szCs w:val="23"/>
        </w:rPr>
        <w:t xml:space="preserve">omme que Caisses d’Epargne et Banques Populaires ont financée notamment par la disette salariale dans tout le Groupe, à l’exception des revenus de leurs dirigeants  bien entendu ! </w:t>
      </w:r>
    </w:p>
    <w:p w:rsid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Bref, pour faire bonne figure, les dirigeants du CFF et de BPCE avaient déclaré dans le courrier d’annonce de leurs résultats 2011 que :</w:t>
      </w:r>
    </w:p>
    <w:p w:rsidR="00A54184" w:rsidRPr="007A4796" w:rsidRDefault="00A54184" w:rsidP="00A54184">
      <w:pPr>
        <w:pStyle w:val="Default"/>
        <w:ind w:left="-567" w:right="-426"/>
        <w:jc w:val="both"/>
        <w:rPr>
          <w:rFonts w:ascii="Calibri" w:hAnsi="Calibri" w:cs="Calibri"/>
          <w:b/>
          <w:i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Pr="007A4796">
        <w:rPr>
          <w:rFonts w:ascii="Calibri" w:hAnsi="Calibri" w:cs="Calibri"/>
          <w:b/>
          <w:i/>
          <w:color w:val="auto"/>
          <w:sz w:val="23"/>
          <w:szCs w:val="23"/>
        </w:rPr>
        <w:t xml:space="preserve">« </w:t>
      </w:r>
      <w:r w:rsidRPr="007A4796">
        <w:rPr>
          <w:rFonts w:ascii="Calibri" w:hAnsi="Calibri" w:cs="Calibri"/>
          <w:b/>
          <w:i/>
          <w:color w:val="auto"/>
          <w:sz w:val="23"/>
          <w:szCs w:val="23"/>
        </w:rPr>
        <w:t>Après</w:t>
      </w:r>
      <w:r w:rsidRPr="007A4796">
        <w:rPr>
          <w:rFonts w:ascii="Calibri" w:hAnsi="Calibri" w:cs="Calibri"/>
          <w:b/>
          <w:i/>
          <w:color w:val="auto"/>
          <w:sz w:val="23"/>
          <w:szCs w:val="23"/>
        </w:rPr>
        <w:t xml:space="preserve"> les provisions exceptionnelles liées à l’exposition sur la dette souveraine grecque, […] la recapitalisation du Crédit Foncier à hauteur de 1,5 Md€ […] témoigne de la confiance de BPCE dans le Crédit Foncier, l’une des activités cœur du groupe. ».</w:t>
      </w:r>
    </w:p>
    <w:p w:rsid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Nous savons maintenant que pour les dirigeants de BPCE, le « cœur du Groupe » a une durée de vie limitée à 6 ans.</w:t>
      </w:r>
    </w:p>
    <w:p w:rsidR="00A54184" w:rsidRP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16"/>
          <w:szCs w:val="23"/>
        </w:rPr>
      </w:pPr>
    </w:p>
    <w:p w:rsid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Quand on se rappelle que les dirigeants cooptés de Natixis, venaient de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se faire arnaquer de près de 8 M€ </w:t>
      </w:r>
      <w:r>
        <w:rPr>
          <w:rFonts w:ascii="Calibri" w:hAnsi="Calibri" w:cs="Calibri"/>
          <w:color w:val="auto"/>
          <w:sz w:val="23"/>
          <w:szCs w:val="23"/>
        </w:rPr>
        <w:t xml:space="preserve">dans l’achat de CIFG, une entreprise américaine véreuse de crédits sub-primes,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puis de perdre 750 M€ </w:t>
      </w:r>
      <w:r>
        <w:rPr>
          <w:rFonts w:ascii="Calibri" w:hAnsi="Calibri" w:cs="Calibri"/>
          <w:color w:val="auto"/>
          <w:sz w:val="23"/>
          <w:szCs w:val="23"/>
        </w:rPr>
        <w:t xml:space="preserve">en une seule journée dans un délire de trading incontrôlé, plus rien ne nous étonne… </w:t>
      </w:r>
    </w:p>
    <w:p w:rsidR="00A54184" w:rsidRP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16"/>
          <w:szCs w:val="23"/>
        </w:rPr>
      </w:pPr>
    </w:p>
    <w:p w:rsid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 w:rsidRPr="007A4796">
        <w:rPr>
          <w:rFonts w:asciiTheme="minorHAnsi" w:hAnsiTheme="minorHAnsi" w:cstheme="minorHAnsi"/>
          <w:b/>
          <w:i/>
          <w:color w:val="auto"/>
          <w:sz w:val="23"/>
          <w:szCs w:val="23"/>
        </w:rPr>
        <w:t>Sud</w:t>
      </w:r>
      <w:r w:rsidRPr="007A4796">
        <w:rPr>
          <w:rFonts w:asciiTheme="minorHAnsi" w:hAnsiTheme="minorHAnsi" w:cstheme="minorHAnsi"/>
          <w:color w:val="auto"/>
          <w:sz w:val="23"/>
          <w:szCs w:val="23"/>
        </w:rPr>
        <w:t xml:space="preserve"> Solidaires dénonce la liquidation du Crédit Foncier, entreprise à vocation sociale qui joue un rôle historique dans l’aide à l’accession sociale à la propriété</w:t>
      </w:r>
      <w:r>
        <w:rPr>
          <w:rFonts w:cstheme="minorBidi"/>
          <w:color w:val="auto"/>
          <w:sz w:val="23"/>
          <w:szCs w:val="23"/>
        </w:rPr>
        <w:t xml:space="preserve">,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le tout en affichant chaque année une exploitation largement bénéficiaire </w:t>
      </w:r>
      <w:r>
        <w:rPr>
          <w:rFonts w:ascii="Calibri" w:hAnsi="Calibri" w:cs="Calibri"/>
          <w:color w:val="auto"/>
          <w:sz w:val="23"/>
          <w:szCs w:val="23"/>
        </w:rPr>
        <w:t xml:space="preserve">(depuis 2015, le résultat net est compris entre 57 M€ et 30 M€, il est de 3O M€ sur le dernier exercice). </w:t>
      </w:r>
    </w:p>
    <w:p w:rsidR="00A54184" w:rsidRP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16"/>
          <w:szCs w:val="23"/>
        </w:rPr>
      </w:pPr>
    </w:p>
    <w:p w:rsid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Chez les salariés du Crédit Foncier, c’est le choc et le désarroi : ils n’en reviennent pas du niveau de cynisme de leurs dirigeants. </w:t>
      </w:r>
    </w:p>
    <w:p w:rsidR="00A54184" w:rsidRPr="00C5475A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16"/>
          <w:szCs w:val="23"/>
        </w:rPr>
      </w:pPr>
    </w:p>
    <w:p w:rsidR="00A54184" w:rsidRDefault="00A54184" w:rsidP="00A54184">
      <w:pPr>
        <w:pStyle w:val="Default"/>
        <w:spacing w:after="17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A22846F" wp14:editId="293F6680">
            <wp:simplePos x="0" y="0"/>
            <wp:positionH relativeFrom="column">
              <wp:posOffset>1462405</wp:posOffset>
            </wp:positionH>
            <wp:positionV relativeFrom="paragraph">
              <wp:posOffset>17780</wp:posOffset>
            </wp:positionV>
            <wp:extent cx="3048635" cy="1544320"/>
            <wp:effectExtent l="0" t="0" r="0" b="0"/>
            <wp:wrapTight wrapText="bothSides">
              <wp:wrapPolygon edited="0">
                <wp:start x="0" y="0"/>
                <wp:lineTo x="0" y="21316"/>
                <wp:lineTo x="21461" y="21316"/>
                <wp:lineTo x="214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7" t="54894" r="19903" b="24893"/>
                    <a:stretch/>
                  </pic:blipFill>
                  <pic:spPr bwMode="auto">
                    <a:xfrm>
                      <a:off x="0" y="0"/>
                      <a:ext cx="3048635" cy="154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Que dire, alors que BPCE affiche un bénéfice cumulé de plus de 24 Md€ sur les 8 dernières années, et un peu plus de 3 Md€ sur le seul exercice 2017 ? </w:t>
      </w:r>
    </w:p>
    <w:p w:rsidR="00A54184" w:rsidRPr="00A54184" w:rsidRDefault="00A54184" w:rsidP="00A54184">
      <w:pPr>
        <w:pStyle w:val="Default"/>
        <w:spacing w:after="17"/>
        <w:ind w:left="-567" w:right="-426"/>
        <w:jc w:val="both"/>
        <w:rPr>
          <w:rFonts w:ascii="Calibri" w:hAnsi="Calibri" w:cs="Calibri"/>
          <w:color w:val="auto"/>
          <w:sz w:val="12"/>
          <w:szCs w:val="23"/>
        </w:rPr>
      </w:pPr>
    </w:p>
    <w:p w:rsidR="00A54184" w:rsidRDefault="00A54184" w:rsidP="00A54184">
      <w:pPr>
        <w:pStyle w:val="Default"/>
        <w:spacing w:after="17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Que dire, quand on sait que BPCE a touché des centaines de millions d’euros dans le cadre du Crédit d’impôt pour la compétitive et l’emploi (CICE), quand des milliers d’emplois et de centaines d’agences sont supprimés ? </w:t>
      </w:r>
    </w:p>
    <w:p w:rsidR="00A54184" w:rsidRPr="00A54184" w:rsidRDefault="00A54184" w:rsidP="00A54184">
      <w:pPr>
        <w:pStyle w:val="Default"/>
        <w:spacing w:after="17"/>
        <w:ind w:left="-567" w:right="-426"/>
        <w:jc w:val="both"/>
        <w:rPr>
          <w:rFonts w:ascii="Calibri" w:hAnsi="Calibri" w:cs="Calibri"/>
          <w:color w:val="auto"/>
          <w:sz w:val="12"/>
          <w:szCs w:val="23"/>
        </w:rPr>
      </w:pPr>
    </w:p>
    <w:p w:rsidR="00A54184" w:rsidRDefault="00A54184" w:rsidP="00A54184">
      <w:pPr>
        <w:pStyle w:val="Default"/>
        <w:spacing w:after="17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Que dire, alors que le groupe BPCE a bénéficié de la plus forte aide de l’Etat suite à la crise financière de 2007-2009 pour survivre aux investissements hasardeux de ses dirigeants : plus de 7 Md€ octroyés en urgence par le contribuable ? </w:t>
      </w:r>
    </w:p>
    <w:p w:rsidR="00A54184" w:rsidRPr="00A54184" w:rsidRDefault="00A54184" w:rsidP="00A54184">
      <w:pPr>
        <w:pStyle w:val="Default"/>
        <w:spacing w:after="17"/>
        <w:ind w:left="-567" w:right="-426"/>
        <w:jc w:val="both"/>
        <w:rPr>
          <w:rFonts w:ascii="Calibri" w:hAnsi="Calibri" w:cs="Calibri"/>
          <w:color w:val="auto"/>
          <w:sz w:val="12"/>
          <w:szCs w:val="23"/>
        </w:rPr>
      </w:pPr>
    </w:p>
    <w:p w:rsidR="00A54184" w:rsidRDefault="00A54184" w:rsidP="00A54184">
      <w:pPr>
        <w:pStyle w:val="Default"/>
        <w:ind w:left="-567" w:right="-426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Calibri" w:hAnsi="Calibri" w:cs="Calibri"/>
          <w:color w:val="auto"/>
          <w:sz w:val="23"/>
          <w:szCs w:val="23"/>
        </w:rPr>
        <w:t xml:space="preserve">Et que dire, quand on sait que BPCE a récemment spéculé sur des investissements en Afrique, et </w:t>
      </w:r>
      <w:r w:rsidR="00C5475A">
        <w:rPr>
          <w:rFonts w:ascii="Calibri" w:hAnsi="Calibri" w:cs="Calibri"/>
          <w:color w:val="auto"/>
          <w:sz w:val="23"/>
          <w:szCs w:val="23"/>
        </w:rPr>
        <w:t>voit encore s’envoler</w:t>
      </w:r>
      <w:r>
        <w:rPr>
          <w:rFonts w:ascii="Calibri" w:hAnsi="Calibri" w:cs="Calibri"/>
          <w:color w:val="auto"/>
          <w:sz w:val="23"/>
          <w:szCs w:val="23"/>
        </w:rPr>
        <w:t xml:space="preserve"> 50 M€ ? </w:t>
      </w:r>
    </w:p>
    <w:p w:rsidR="004035A4" w:rsidRDefault="00A54184" w:rsidP="00C5475A">
      <w:pPr>
        <w:pStyle w:val="Default"/>
        <w:ind w:left="-567" w:right="-426"/>
        <w:jc w:val="both"/>
      </w:pPr>
      <w:r>
        <w:rPr>
          <w:rFonts w:ascii="Calibri" w:hAnsi="Calibri" w:cs="Calibri"/>
          <w:b/>
          <w:bCs/>
          <w:color w:val="auto"/>
          <w:sz w:val="23"/>
          <w:szCs w:val="23"/>
        </w:rPr>
        <w:t>Depui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s des années, </w:t>
      </w:r>
      <w:r w:rsidRPr="000172B2">
        <w:rPr>
          <w:rFonts w:ascii="Calibri" w:hAnsi="Calibri" w:cs="Calibri"/>
          <w:b/>
          <w:bCs/>
          <w:i/>
          <w:color w:val="auto"/>
          <w:sz w:val="23"/>
          <w:szCs w:val="23"/>
        </w:rPr>
        <w:t>Sud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Solidaires dénonce les choix de gestion des dirigeants de BPCE et les coupes sombres dans les effectifs qui en découlent. D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epuis des années nous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préconisons la socialisation du système bancaire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, depuis des années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nous sommes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aux côtés des salarié-e-s. </w:t>
      </w:r>
      <w:bookmarkStart w:id="0" w:name="_GoBack"/>
      <w:bookmarkEnd w:id="0"/>
    </w:p>
    <w:sectPr w:rsidR="004035A4" w:rsidSect="00A5418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8C" w:rsidRDefault="00600E8C" w:rsidP="00A54184">
      <w:pPr>
        <w:spacing w:after="0" w:line="240" w:lineRule="auto"/>
      </w:pPr>
      <w:r>
        <w:separator/>
      </w:r>
    </w:p>
  </w:endnote>
  <w:endnote w:type="continuationSeparator" w:id="0">
    <w:p w:rsidR="00600E8C" w:rsidRDefault="00600E8C" w:rsidP="00A5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altName w:val="Arial Black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8C" w:rsidRDefault="00600E8C" w:rsidP="00A54184">
      <w:pPr>
        <w:spacing w:after="0" w:line="240" w:lineRule="auto"/>
      </w:pPr>
      <w:r>
        <w:separator/>
      </w:r>
    </w:p>
  </w:footnote>
  <w:footnote w:type="continuationSeparator" w:id="0">
    <w:p w:rsidR="00600E8C" w:rsidRDefault="00600E8C" w:rsidP="00A5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84"/>
    <w:rsid w:val="004035A4"/>
    <w:rsid w:val="00600E8C"/>
    <w:rsid w:val="00A54184"/>
    <w:rsid w:val="00C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4184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184"/>
  </w:style>
  <w:style w:type="paragraph" w:styleId="Pieddepage">
    <w:name w:val="footer"/>
    <w:basedOn w:val="Normal"/>
    <w:link w:val="PieddepageCar"/>
    <w:uiPriority w:val="99"/>
    <w:unhideWhenUsed/>
    <w:rsid w:val="00A5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4184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184"/>
  </w:style>
  <w:style w:type="paragraph" w:styleId="Pieddepage">
    <w:name w:val="footer"/>
    <w:basedOn w:val="Normal"/>
    <w:link w:val="PieddepageCar"/>
    <w:uiPriority w:val="99"/>
    <w:unhideWhenUsed/>
    <w:rsid w:val="00A5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2018-07-23T08:19:00Z</dcterms:created>
  <dcterms:modified xsi:type="dcterms:W3CDTF">2018-07-23T08:34:00Z</dcterms:modified>
</cp:coreProperties>
</file>